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bookmarkStart w:id="0" w:name="_GoBack"/>
      <w:bookmarkEnd w:id="0"/>
    </w:p>
    <w:p w:rsidR="00A44CAA" w:rsidRDefault="00A44CAA" w:rsidP="00A44CAA">
      <w:pPr>
        <w:spacing w:after="0" w:line="480" w:lineRule="auto"/>
        <w:jc w:val="center"/>
        <w:rPr>
          <w:rFonts w:ascii="Times New Roman" w:hAnsi="Times New Roman" w:cs="Times New Roman"/>
          <w:color w:val="000000" w:themeColor="text1"/>
          <w:sz w:val="24"/>
          <w:szCs w:val="24"/>
        </w:rPr>
      </w:pPr>
    </w:p>
    <w:p w:rsidR="00A44CAA" w:rsidRDefault="00A44CAA" w:rsidP="00A44CAA">
      <w:pPr>
        <w:spacing w:after="0" w:line="480" w:lineRule="auto"/>
        <w:jc w:val="center"/>
        <w:rPr>
          <w:rFonts w:ascii="Times New Roman" w:hAnsi="Times New Roman" w:cs="Times New Roman"/>
          <w:color w:val="000000" w:themeColor="text1"/>
          <w:sz w:val="24"/>
          <w:szCs w:val="24"/>
        </w:rPr>
      </w:pPr>
    </w:p>
    <w:p w:rsidR="00A44CAA" w:rsidRDefault="00A44CAA" w:rsidP="00A44CAA">
      <w:pPr>
        <w:spacing w:after="0" w:line="480" w:lineRule="auto"/>
        <w:jc w:val="center"/>
        <w:rPr>
          <w:rFonts w:ascii="Times New Roman" w:hAnsi="Times New Roman" w:cs="Times New Roman"/>
          <w:color w:val="000000" w:themeColor="text1"/>
          <w:sz w:val="24"/>
          <w:szCs w:val="24"/>
        </w:rPr>
      </w:pPr>
    </w:p>
    <w:p w:rsidR="00A44CAA" w:rsidRDefault="00A44CAA" w:rsidP="00A44CAA">
      <w:pPr>
        <w:spacing w:after="0" w:line="480" w:lineRule="auto"/>
        <w:jc w:val="center"/>
        <w:rPr>
          <w:rFonts w:ascii="Times New Roman" w:hAnsi="Times New Roman" w:cs="Times New Roman"/>
          <w:color w:val="000000" w:themeColor="text1"/>
          <w:sz w:val="24"/>
          <w:szCs w:val="24"/>
        </w:rPr>
      </w:pPr>
    </w:p>
    <w:p w:rsidR="00A44CAA" w:rsidRDefault="00A44CAA" w:rsidP="00A44CAA">
      <w:pPr>
        <w:spacing w:after="0" w:line="480" w:lineRule="auto"/>
        <w:jc w:val="center"/>
        <w:rPr>
          <w:rFonts w:ascii="Times New Roman" w:hAnsi="Times New Roman" w:cs="Times New Roman"/>
          <w:color w:val="000000" w:themeColor="text1"/>
          <w:sz w:val="24"/>
          <w:szCs w:val="24"/>
        </w:rPr>
      </w:pPr>
    </w:p>
    <w:p w:rsidR="00220115" w:rsidRPr="00ED2569" w:rsidRDefault="00BC74F8" w:rsidP="00A44CAA">
      <w:pPr>
        <w:spacing w:after="0" w:line="480" w:lineRule="auto"/>
        <w:jc w:val="center"/>
        <w:rPr>
          <w:rFonts w:ascii="Times New Roman" w:hAnsi="Times New Roman" w:cs="Times New Roman"/>
          <w:color w:val="000000" w:themeColor="text1"/>
          <w:sz w:val="24"/>
          <w:szCs w:val="24"/>
        </w:rPr>
      </w:pPr>
      <w:r w:rsidRPr="00ED2569">
        <w:rPr>
          <w:rFonts w:ascii="Times New Roman" w:hAnsi="Times New Roman" w:cs="Times New Roman"/>
          <w:color w:val="000000" w:themeColor="text1"/>
          <w:sz w:val="24"/>
          <w:szCs w:val="24"/>
        </w:rPr>
        <w:t>Case of Perin Vs. Hayne</w:t>
      </w:r>
    </w:p>
    <w:p w:rsidR="00220115" w:rsidRPr="00ED2569" w:rsidRDefault="00BC74F8" w:rsidP="00A44CAA">
      <w:pPr>
        <w:spacing w:after="0" w:line="480" w:lineRule="auto"/>
        <w:jc w:val="center"/>
        <w:rPr>
          <w:rFonts w:ascii="Times New Roman" w:hAnsi="Times New Roman" w:cs="Times New Roman"/>
          <w:color w:val="000000" w:themeColor="text1"/>
          <w:sz w:val="24"/>
          <w:szCs w:val="24"/>
        </w:rPr>
      </w:pPr>
      <w:r w:rsidRPr="00ED2569">
        <w:rPr>
          <w:rFonts w:ascii="Times New Roman" w:hAnsi="Times New Roman" w:cs="Times New Roman"/>
          <w:color w:val="000000" w:themeColor="text1"/>
          <w:sz w:val="24"/>
          <w:szCs w:val="24"/>
        </w:rPr>
        <w:t>Student Name</w:t>
      </w:r>
    </w:p>
    <w:p w:rsidR="00220115" w:rsidRPr="00ED2569" w:rsidRDefault="00BC74F8" w:rsidP="00A44CAA">
      <w:pPr>
        <w:spacing w:after="0" w:line="480" w:lineRule="auto"/>
        <w:jc w:val="center"/>
        <w:rPr>
          <w:rFonts w:ascii="Times New Roman" w:hAnsi="Times New Roman" w:cs="Times New Roman"/>
          <w:color w:val="000000" w:themeColor="text1"/>
          <w:sz w:val="24"/>
          <w:szCs w:val="24"/>
        </w:rPr>
      </w:pPr>
      <w:r w:rsidRPr="00ED2569">
        <w:rPr>
          <w:rFonts w:ascii="Times New Roman" w:hAnsi="Times New Roman" w:cs="Times New Roman"/>
          <w:color w:val="000000" w:themeColor="text1"/>
          <w:sz w:val="24"/>
          <w:szCs w:val="24"/>
        </w:rPr>
        <w:t>Institution Affiliation</w:t>
      </w:r>
    </w:p>
    <w:p w:rsidR="00220115" w:rsidRPr="00ED2569" w:rsidRDefault="00BC74F8" w:rsidP="00A44CAA">
      <w:pPr>
        <w:spacing w:after="0" w:line="480" w:lineRule="auto"/>
        <w:jc w:val="center"/>
        <w:rPr>
          <w:rFonts w:ascii="Times New Roman" w:hAnsi="Times New Roman" w:cs="Times New Roman"/>
          <w:color w:val="000000" w:themeColor="text1"/>
          <w:sz w:val="24"/>
          <w:szCs w:val="24"/>
        </w:rPr>
      </w:pPr>
      <w:r w:rsidRPr="00ED2569">
        <w:rPr>
          <w:rFonts w:ascii="Times New Roman" w:hAnsi="Times New Roman" w:cs="Times New Roman"/>
          <w:color w:val="000000" w:themeColor="text1"/>
          <w:sz w:val="24"/>
          <w:szCs w:val="24"/>
        </w:rPr>
        <w:t>Date</w:t>
      </w: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220115" w:rsidRPr="00ED2569" w:rsidRDefault="00220115" w:rsidP="00A44CAA">
      <w:pPr>
        <w:pStyle w:val="NormalWeb"/>
        <w:shd w:val="clear" w:color="auto" w:fill="FFFFFF"/>
        <w:spacing w:before="0" w:beforeAutospacing="0" w:after="0" w:afterAutospacing="0" w:line="480" w:lineRule="auto"/>
        <w:jc w:val="center"/>
        <w:rPr>
          <w:color w:val="000000" w:themeColor="text1"/>
        </w:rPr>
      </w:pPr>
    </w:p>
    <w:p w:rsidR="00A44CAA" w:rsidRDefault="00A44CAA" w:rsidP="00A44CAA">
      <w:pPr>
        <w:pStyle w:val="NormalWeb"/>
        <w:shd w:val="clear" w:color="auto" w:fill="FFFFFF"/>
        <w:spacing w:before="0" w:beforeAutospacing="0" w:after="0" w:afterAutospacing="0" w:line="480" w:lineRule="auto"/>
        <w:jc w:val="center"/>
        <w:rPr>
          <w:color w:val="000000" w:themeColor="text1"/>
        </w:rPr>
      </w:pPr>
    </w:p>
    <w:p w:rsidR="00A44CAA" w:rsidRDefault="00A44CAA" w:rsidP="00A44CAA">
      <w:pPr>
        <w:pStyle w:val="NormalWeb"/>
        <w:shd w:val="clear" w:color="auto" w:fill="FFFFFF"/>
        <w:spacing w:before="0" w:beforeAutospacing="0" w:after="0" w:afterAutospacing="0" w:line="480" w:lineRule="auto"/>
        <w:jc w:val="center"/>
        <w:rPr>
          <w:color w:val="000000" w:themeColor="text1"/>
        </w:rPr>
      </w:pPr>
    </w:p>
    <w:p w:rsidR="00A44CAA" w:rsidRDefault="00A44CAA" w:rsidP="00A44CAA">
      <w:pPr>
        <w:pStyle w:val="NormalWeb"/>
        <w:shd w:val="clear" w:color="auto" w:fill="FFFFFF"/>
        <w:spacing w:before="0" w:beforeAutospacing="0" w:after="0" w:afterAutospacing="0" w:line="480" w:lineRule="auto"/>
        <w:jc w:val="center"/>
        <w:rPr>
          <w:color w:val="000000" w:themeColor="text1"/>
        </w:rPr>
      </w:pPr>
    </w:p>
    <w:p w:rsidR="00EA39F2" w:rsidRPr="00ED2569" w:rsidRDefault="00BC74F8" w:rsidP="00A44CAA">
      <w:pPr>
        <w:pStyle w:val="NormalWeb"/>
        <w:shd w:val="clear" w:color="auto" w:fill="FFFFFF"/>
        <w:spacing w:before="0" w:beforeAutospacing="0" w:after="0" w:afterAutospacing="0" w:line="480" w:lineRule="auto"/>
        <w:jc w:val="center"/>
        <w:rPr>
          <w:color w:val="000000" w:themeColor="text1"/>
        </w:rPr>
      </w:pPr>
      <w:r w:rsidRPr="00ED2569">
        <w:rPr>
          <w:color w:val="000000" w:themeColor="text1"/>
        </w:rPr>
        <w:lastRenderedPageBreak/>
        <w:t>Case of Perin Vs. Hayne</w:t>
      </w:r>
    </w:p>
    <w:p w:rsidR="00ED3C84" w:rsidRPr="00ED2569" w:rsidRDefault="00BC74F8" w:rsidP="00A44CAA">
      <w:pPr>
        <w:pStyle w:val="NormalWeb"/>
        <w:shd w:val="clear" w:color="auto" w:fill="FFFFFF"/>
        <w:spacing w:before="0" w:beforeAutospacing="0" w:after="0" w:afterAutospacing="0" w:line="480" w:lineRule="auto"/>
        <w:ind w:firstLine="720"/>
        <w:rPr>
          <w:color w:val="000000" w:themeColor="text1"/>
        </w:rPr>
      </w:pPr>
      <w:r w:rsidRPr="00ED2569">
        <w:rPr>
          <w:color w:val="000000" w:themeColor="text1"/>
        </w:rPr>
        <w:t>The argument between Hayne vs. Perin involved cervical infusion, which was performed by Hayne, who was a neurosurgeon in November 1968. The procedure removed pain, numbness, an</w:t>
      </w:r>
      <w:r w:rsidR="008F0A36">
        <w:rPr>
          <w:color w:val="000000" w:themeColor="text1"/>
        </w:rPr>
        <w:t>d weakness successfully in the p</w:t>
      </w:r>
      <w:r w:rsidRPr="00ED2569">
        <w:rPr>
          <w:color w:val="000000" w:themeColor="text1"/>
        </w:rPr>
        <w:t xml:space="preserve">laintiff's right arm, neck, and back. However, the appellant stated that she had paralysis of vocal cords due to damage to the laryngeal </w:t>
      </w:r>
      <w:r w:rsidR="005855B3" w:rsidRPr="00ED2569">
        <w:rPr>
          <w:color w:val="000000" w:themeColor="text1"/>
        </w:rPr>
        <w:t>nerve. After the procedure, she</w:t>
      </w:r>
      <w:r w:rsidRPr="00ED2569">
        <w:rPr>
          <w:color w:val="000000" w:themeColor="text1"/>
        </w:rPr>
        <w:t xml:space="preserve"> had impaired speech. </w:t>
      </w:r>
      <w:r w:rsidR="008F0A36">
        <w:rPr>
          <w:color w:val="000000" w:themeColor="text1"/>
        </w:rPr>
        <w:t>The pl</w:t>
      </w:r>
      <w:r w:rsidRPr="00ED2569">
        <w:rPr>
          <w:color w:val="000000" w:themeColor="text1"/>
        </w:rPr>
        <w:t>aintiff experienced loss</w:t>
      </w:r>
      <w:r w:rsidR="001701A2" w:rsidRPr="00ED2569">
        <w:rPr>
          <w:color w:val="000000" w:themeColor="text1"/>
        </w:rPr>
        <w:t xml:space="preserve"> which she presented</w:t>
      </w:r>
      <w:r w:rsidRPr="00ED2569">
        <w:rPr>
          <w:color w:val="000000" w:themeColor="text1"/>
        </w:rPr>
        <w:t xml:space="preserve"> by</w:t>
      </w:r>
      <w:r w:rsidR="001701A2" w:rsidRPr="00ED2569">
        <w:rPr>
          <w:color w:val="000000" w:themeColor="text1"/>
        </w:rPr>
        <w:t xml:space="preserve"> using</w:t>
      </w:r>
      <w:r w:rsidRPr="00ED2569">
        <w:rPr>
          <w:color w:val="000000" w:themeColor="text1"/>
        </w:rPr>
        <w:t xml:space="preserve"> four theories; battery, breach of express of warranty, res ipsa loquitur, and specific negligence</w:t>
      </w:r>
      <w:r w:rsidR="007A267E" w:rsidRPr="00ED2569">
        <w:rPr>
          <w:color w:val="000000" w:themeColor="text1"/>
        </w:rPr>
        <w:t xml:space="preserve"> (</w:t>
      </w:r>
      <w:r w:rsidR="007A267E" w:rsidRPr="00ED2569">
        <w:rPr>
          <w:color w:val="000000" w:themeColor="text1"/>
          <w:shd w:val="clear" w:color="auto" w:fill="FFFFFF"/>
        </w:rPr>
        <w:t>Perin&amp; Hayne, 1973)</w:t>
      </w:r>
      <w:r w:rsidRPr="00ED2569">
        <w:rPr>
          <w:color w:val="000000" w:themeColor="text1"/>
        </w:rPr>
        <w:t>. For</w:t>
      </w:r>
      <w:r w:rsidR="008F0A36">
        <w:rPr>
          <w:color w:val="000000" w:themeColor="text1"/>
        </w:rPr>
        <w:t xml:space="preserve"> particular negligence theory, the p</w:t>
      </w:r>
      <w:r w:rsidRPr="00ED2569">
        <w:rPr>
          <w:color w:val="000000" w:themeColor="text1"/>
        </w:rPr>
        <w:t xml:space="preserve">laintiff provided that she had enough evidence of injury following </w:t>
      </w:r>
      <w:r w:rsidR="00FA54E9" w:rsidRPr="00ED2569">
        <w:rPr>
          <w:color w:val="000000" w:themeColor="text1"/>
        </w:rPr>
        <w:t>the negligence of the defendant. At the level of 5</w:t>
      </w:r>
      <w:r w:rsidR="00FA54E9" w:rsidRPr="00ED2569">
        <w:rPr>
          <w:color w:val="000000" w:themeColor="text1"/>
          <w:vertAlign w:val="superscript"/>
        </w:rPr>
        <w:t>th</w:t>
      </w:r>
      <w:r w:rsidR="00FA54E9" w:rsidRPr="00ED2569">
        <w:rPr>
          <w:color w:val="000000" w:themeColor="text1"/>
        </w:rPr>
        <w:t xml:space="preserve"> and 6</w:t>
      </w:r>
      <w:r w:rsidR="00FA54E9" w:rsidRPr="00ED2569">
        <w:rPr>
          <w:color w:val="000000" w:themeColor="text1"/>
          <w:vertAlign w:val="superscript"/>
        </w:rPr>
        <w:t>th</w:t>
      </w:r>
      <w:r w:rsidR="00FA54E9" w:rsidRPr="00ED2569">
        <w:rPr>
          <w:color w:val="000000" w:themeColor="text1"/>
        </w:rPr>
        <w:t xml:space="preserve"> cervical spaces, there were protruding dis</w:t>
      </w:r>
      <w:r w:rsidR="00D31229" w:rsidRPr="00ED2569">
        <w:rPr>
          <w:color w:val="000000" w:themeColor="text1"/>
        </w:rPr>
        <w:t>c</w:t>
      </w:r>
      <w:r w:rsidR="00FA54E9" w:rsidRPr="00ED2569">
        <w:rPr>
          <w:color w:val="000000" w:themeColor="text1"/>
        </w:rPr>
        <w:t>. The surgery aimed to remove the discs and fix</w:t>
      </w:r>
      <w:r w:rsidR="00EF5B76" w:rsidRPr="00ED2569">
        <w:rPr>
          <w:color w:val="000000" w:themeColor="text1"/>
        </w:rPr>
        <w:t>ing</w:t>
      </w:r>
      <w:r w:rsidR="00FA54E9" w:rsidRPr="00ED2569">
        <w:rPr>
          <w:color w:val="000000" w:themeColor="text1"/>
        </w:rPr>
        <w:t xml:space="preserve"> the vertebrae with dowels of bone from the hip region. The court did not give a verdict to the offender</w:t>
      </w:r>
      <w:r w:rsidR="00ED2569" w:rsidRPr="00ED2569">
        <w:rPr>
          <w:color w:val="000000" w:themeColor="text1"/>
        </w:rPr>
        <w:t xml:space="preserve"> (</w:t>
      </w:r>
      <w:r w:rsidR="00ED2569" w:rsidRPr="00ED2569">
        <w:rPr>
          <w:color w:val="000000" w:themeColor="text1"/>
          <w:shd w:val="clear" w:color="auto" w:fill="FFFFFF"/>
        </w:rPr>
        <w:t>McCormick, 2015)</w:t>
      </w:r>
      <w:r w:rsidR="00FA54E9" w:rsidRPr="00ED2569">
        <w:rPr>
          <w:color w:val="000000" w:themeColor="text1"/>
        </w:rPr>
        <w:t xml:space="preserve">. This is because for specific negligence to be proven, three means have to be established: through the testimony of the expert, evidence that shows negligence and evidence showing that the physician damaged part of the body which was not involved in the procedure. </w:t>
      </w:r>
      <w:r w:rsidRPr="00ED2569">
        <w:rPr>
          <w:color w:val="000000" w:themeColor="text1"/>
        </w:rPr>
        <w:t xml:space="preserve">The jury question, in this case, was developed through the first and the third techniques. In this case, the doctors testified the absence of injury, and the methods involved in surgery were right; thus, there was no evidence for negligence. </w:t>
      </w:r>
    </w:p>
    <w:p w:rsidR="005D0BA1" w:rsidRPr="00ED2569" w:rsidRDefault="00BC74F8" w:rsidP="00A44CAA">
      <w:pPr>
        <w:pStyle w:val="NormalWeb"/>
        <w:shd w:val="clear" w:color="auto" w:fill="FFFFFF"/>
        <w:spacing w:before="0" w:beforeAutospacing="0" w:after="0" w:afterAutospacing="0" w:line="480" w:lineRule="auto"/>
        <w:ind w:firstLine="720"/>
        <w:rPr>
          <w:color w:val="000000" w:themeColor="text1"/>
        </w:rPr>
      </w:pPr>
      <w:r w:rsidRPr="00ED2569">
        <w:rPr>
          <w:color w:val="000000" w:themeColor="text1"/>
        </w:rPr>
        <w:t>Relating to th</w:t>
      </w:r>
      <w:r w:rsidR="008F0A36">
        <w:rPr>
          <w:color w:val="000000" w:themeColor="text1"/>
        </w:rPr>
        <w:t>e theory of Res ipsa loquitur, the p</w:t>
      </w:r>
      <w:r w:rsidRPr="00ED2569">
        <w:rPr>
          <w:color w:val="000000" w:themeColor="text1"/>
        </w:rPr>
        <w:t>laintiff complains about the doctrine.The doctrine involves the damage that is influenced by an instrument that is under the regulation of the surgeon</w:t>
      </w:r>
      <w:r w:rsidR="00ED2569" w:rsidRPr="00ED2569">
        <w:rPr>
          <w:color w:val="000000" w:themeColor="text1"/>
        </w:rPr>
        <w:t xml:space="preserve"> (</w:t>
      </w:r>
      <w:r w:rsidR="00ED2569" w:rsidRPr="00ED2569">
        <w:rPr>
          <w:color w:val="000000" w:themeColor="text1"/>
          <w:shd w:val="clear" w:color="auto" w:fill="FFFFFF"/>
        </w:rPr>
        <w:t>Fielding, Teutsch&amp; Caldwell, 2013)</w:t>
      </w:r>
      <w:r w:rsidRPr="00ED2569">
        <w:rPr>
          <w:color w:val="000000" w:themeColor="text1"/>
        </w:rPr>
        <w:t xml:space="preserve">. The case requires the presence of the </w:t>
      </w:r>
      <w:r w:rsidR="008F0A36">
        <w:rPr>
          <w:color w:val="000000" w:themeColor="text1"/>
        </w:rPr>
        <w:t>foundation of the second fact. The p</w:t>
      </w:r>
      <w:r w:rsidRPr="00ED2569">
        <w:rPr>
          <w:color w:val="000000" w:themeColor="text1"/>
        </w:rPr>
        <w:t>laintiff explains that there were two interferences in the surgery: laryngeal nerve damage and injury being rare in such surgical procedures</w:t>
      </w:r>
      <w:r w:rsidR="007A267E" w:rsidRPr="00ED2569">
        <w:rPr>
          <w:color w:val="000000" w:themeColor="text1"/>
        </w:rPr>
        <w:t xml:space="preserve"> (</w:t>
      </w:r>
      <w:r w:rsidR="007A267E" w:rsidRPr="00ED2569">
        <w:rPr>
          <w:color w:val="000000" w:themeColor="text1"/>
          <w:shd w:val="clear" w:color="auto" w:fill="FFFFFF"/>
        </w:rPr>
        <w:t>Perin&amp; Hayne, 1973)</w:t>
      </w:r>
      <w:r w:rsidRPr="00ED2569">
        <w:rPr>
          <w:color w:val="000000" w:themeColor="text1"/>
        </w:rPr>
        <w:t xml:space="preserve">. Doctor Eidbo and the defender stated that the foundation of the second </w:t>
      </w:r>
      <w:r w:rsidR="00B81CCB" w:rsidRPr="00ED2569">
        <w:rPr>
          <w:color w:val="000000" w:themeColor="text1"/>
        </w:rPr>
        <w:t xml:space="preserve">fact was </w:t>
      </w:r>
      <w:r w:rsidR="00B81CCB" w:rsidRPr="00ED2569">
        <w:rPr>
          <w:color w:val="000000" w:themeColor="text1"/>
        </w:rPr>
        <w:lastRenderedPageBreak/>
        <w:t>not present because one cannot apply common understanding to state the occurrence of laryngeal injuries in such surgical procedures. In usual cases, the use of past experiences can be drawn from common knowledge, which the court recognizes to be shared among all the people. Thus, the second statement of the defendant was no</w:t>
      </w:r>
      <w:r w:rsidR="008F0A36">
        <w:rPr>
          <w:color w:val="000000" w:themeColor="text1"/>
        </w:rPr>
        <w:t>t agreeable. The evidence that the p</w:t>
      </w:r>
      <w:r w:rsidR="00B81CCB" w:rsidRPr="00ED2569">
        <w:rPr>
          <w:color w:val="000000" w:themeColor="text1"/>
        </w:rPr>
        <w:t>laintiff suffered from laryngeal damage was very evident in the court following the testimony of the e</w:t>
      </w:r>
      <w:r w:rsidR="00EA50F6" w:rsidRPr="00ED2569">
        <w:rPr>
          <w:color w:val="000000" w:themeColor="text1"/>
        </w:rPr>
        <w:t>xpert. However,</w:t>
      </w:r>
      <w:r w:rsidR="00B81CCB" w:rsidRPr="00ED2569">
        <w:rPr>
          <w:color w:val="000000" w:themeColor="text1"/>
        </w:rPr>
        <w:t xml:space="preserve"> the first statement concerning the rarity of the case was not enough to be applied in the res ipsa loquitur</w:t>
      </w:r>
      <w:r w:rsidR="007F284C" w:rsidRPr="00ED2569">
        <w:rPr>
          <w:color w:val="000000" w:themeColor="text1"/>
        </w:rPr>
        <w:t xml:space="preserve"> (</w:t>
      </w:r>
      <w:r w:rsidR="007F284C" w:rsidRPr="00ED2569">
        <w:rPr>
          <w:color w:val="000000" w:themeColor="text1"/>
          <w:shd w:val="clear" w:color="auto" w:fill="FFFFFF"/>
        </w:rPr>
        <w:t>McCormick, 2015)</w:t>
      </w:r>
      <w:r w:rsidR="00B81CCB" w:rsidRPr="00ED2569">
        <w:rPr>
          <w:color w:val="000000" w:themeColor="text1"/>
        </w:rPr>
        <w:t>. The doctrine could have b</w:t>
      </w:r>
      <w:r w:rsidR="00417CB4" w:rsidRPr="00ED2569">
        <w:rPr>
          <w:color w:val="000000" w:themeColor="text1"/>
        </w:rPr>
        <w:t xml:space="preserve">een applicable following </w:t>
      </w:r>
      <w:r w:rsidR="00B81CCB" w:rsidRPr="00ED2569">
        <w:rPr>
          <w:color w:val="000000" w:themeColor="text1"/>
        </w:rPr>
        <w:t>proof of negligence.</w:t>
      </w:r>
      <w:r w:rsidR="00417CB4" w:rsidRPr="00ED2569">
        <w:rPr>
          <w:color w:val="000000" w:themeColor="text1"/>
        </w:rPr>
        <w:t xml:space="preserve"> There was no proof that the nerve was injured, and the expert stated that even if the nerve was to be damaged, it could have been the result of visceral column retraction in cervical fusion, which can also occur when precautions are taken. The court did not believe the basis of submission of this doctrine, and the court could not err in rejecting its bid.  </w:t>
      </w:r>
    </w:p>
    <w:p w:rsidR="00417CB4" w:rsidRPr="00ED2569" w:rsidRDefault="00BC74F8" w:rsidP="00A44CAA">
      <w:pPr>
        <w:pStyle w:val="NormalWeb"/>
        <w:shd w:val="clear" w:color="auto" w:fill="FFFFFF"/>
        <w:spacing w:before="0" w:beforeAutospacing="0" w:after="0" w:afterAutospacing="0" w:line="480" w:lineRule="auto"/>
        <w:ind w:firstLine="720"/>
        <w:rPr>
          <w:color w:val="000000" w:themeColor="text1"/>
        </w:rPr>
      </w:pPr>
      <w:r w:rsidRPr="00ED2569">
        <w:rPr>
          <w:color w:val="000000" w:themeColor="text1"/>
        </w:rPr>
        <w:t xml:space="preserve">In battery theory, </w:t>
      </w:r>
      <w:r w:rsidR="008F0A36">
        <w:rPr>
          <w:color w:val="000000" w:themeColor="text1"/>
        </w:rPr>
        <w:t>the p</w:t>
      </w:r>
      <w:r w:rsidRPr="00ED2569">
        <w:rPr>
          <w:color w:val="000000" w:themeColor="text1"/>
        </w:rPr>
        <w:t xml:space="preserve">laintiff stated that there was enough evidence to provide the case. She said that consent was signed for the fusion of </w:t>
      </w:r>
      <w:r w:rsidR="002D34E7" w:rsidRPr="00ED2569">
        <w:rPr>
          <w:color w:val="000000" w:themeColor="text1"/>
        </w:rPr>
        <w:t xml:space="preserve">the </w:t>
      </w:r>
      <w:r w:rsidRPr="00ED2569">
        <w:rPr>
          <w:color w:val="000000" w:themeColor="text1"/>
        </w:rPr>
        <w:t>vertebras and the removal of the disc, where she thought another operation was to be used to fuse an additional vertebra</w:t>
      </w:r>
      <w:r w:rsidR="00ED2569" w:rsidRPr="00ED2569">
        <w:rPr>
          <w:color w:val="000000" w:themeColor="text1"/>
        </w:rPr>
        <w:t xml:space="preserve"> (</w:t>
      </w:r>
      <w:r w:rsidR="00ED2569" w:rsidRPr="00ED2569">
        <w:rPr>
          <w:color w:val="000000" w:themeColor="text1"/>
          <w:shd w:val="clear" w:color="auto" w:fill="FFFFFF"/>
        </w:rPr>
        <w:t>McCormick, 2015)</w:t>
      </w:r>
      <w:r w:rsidRPr="00ED2569">
        <w:rPr>
          <w:color w:val="000000" w:themeColor="text1"/>
        </w:rPr>
        <w:t xml:space="preserve">. </w:t>
      </w:r>
      <w:r w:rsidR="00761E68" w:rsidRPr="00ED2569">
        <w:rPr>
          <w:color w:val="000000" w:themeColor="text1"/>
        </w:rPr>
        <w:t>She stated that four backbones were simultaneously combined following the assurance of the defendant and failing to give a warning about the complications which resulted in paralysis. It means that the defendant was liable even with no case of negligence. However, there was no evidence concerning her claims that she did not receive informed consent</w:t>
      </w:r>
      <w:r w:rsidR="007A267E" w:rsidRPr="00ED2569">
        <w:rPr>
          <w:color w:val="000000" w:themeColor="text1"/>
        </w:rPr>
        <w:t xml:space="preserve"> (</w:t>
      </w:r>
      <w:r w:rsidR="007A267E" w:rsidRPr="00ED2569">
        <w:rPr>
          <w:color w:val="000000" w:themeColor="text1"/>
          <w:shd w:val="clear" w:color="auto" w:fill="FFFFFF"/>
        </w:rPr>
        <w:t>Perin&amp; Hayne, 1973)</w:t>
      </w:r>
      <w:r w:rsidR="008F0A36">
        <w:rPr>
          <w:color w:val="000000" w:themeColor="text1"/>
        </w:rPr>
        <w:t>. The defendant explained that the p</w:t>
      </w:r>
      <w:r w:rsidR="00761E68" w:rsidRPr="00ED2569">
        <w:rPr>
          <w:color w:val="000000" w:themeColor="text1"/>
        </w:rPr>
        <w:t xml:space="preserve">laintiff was fully informed about the procedure but acknowledged that he failed to give her information concerning the complications of the surgery. The court did not err </w:t>
      </w:r>
      <w:r w:rsidR="00C74483" w:rsidRPr="00ED2569">
        <w:rPr>
          <w:color w:val="000000" w:themeColor="text1"/>
        </w:rPr>
        <w:t>to deny the submission of the case based on the theory of battery.</w:t>
      </w:r>
    </w:p>
    <w:p w:rsidR="00C74483" w:rsidRPr="00ED2569" w:rsidRDefault="008F0A36" w:rsidP="00A44CAA">
      <w:pPr>
        <w:pStyle w:val="NormalWeb"/>
        <w:shd w:val="clear" w:color="auto" w:fill="FFFFFF"/>
        <w:spacing w:before="0" w:beforeAutospacing="0" w:after="0" w:afterAutospacing="0" w:line="480" w:lineRule="auto"/>
        <w:ind w:firstLine="720"/>
        <w:rPr>
          <w:color w:val="000000" w:themeColor="text1"/>
        </w:rPr>
      </w:pPr>
      <w:r>
        <w:rPr>
          <w:color w:val="000000" w:themeColor="text1"/>
        </w:rPr>
        <w:t>In the express of warranty, the p</w:t>
      </w:r>
      <w:r w:rsidR="00BC74F8" w:rsidRPr="00ED2569">
        <w:rPr>
          <w:color w:val="000000" w:themeColor="text1"/>
        </w:rPr>
        <w:t xml:space="preserve">laintiff complains about the presence of the theory in the case following the assurance from the defendant on a healthy life after the surgery. She </w:t>
      </w:r>
      <w:r w:rsidR="00BC74F8" w:rsidRPr="00ED2569">
        <w:rPr>
          <w:color w:val="000000" w:themeColor="text1"/>
        </w:rPr>
        <w:lastRenderedPageBreak/>
        <w:t>emphasizes that the damage to her vocal cord breaches the warranty. The defendant explained to the court that he informed the appellant about the operation and answered all her questions. The appellant acknowledges that the defender told her about the risks involved in the surgery</w:t>
      </w:r>
      <w:r w:rsidR="007A267E" w:rsidRPr="00ED2569">
        <w:rPr>
          <w:color w:val="000000" w:themeColor="text1"/>
        </w:rPr>
        <w:t xml:space="preserve"> (</w:t>
      </w:r>
      <w:r w:rsidR="007A267E" w:rsidRPr="00ED2569">
        <w:rPr>
          <w:color w:val="000000" w:themeColor="text1"/>
          <w:shd w:val="clear" w:color="auto" w:fill="FFFFFF"/>
        </w:rPr>
        <w:t>Perin&amp; Hayne, 1973)</w:t>
      </w:r>
      <w:r w:rsidR="00BC74F8" w:rsidRPr="00ED2569">
        <w:rPr>
          <w:color w:val="000000" w:themeColor="text1"/>
        </w:rPr>
        <w:t>. The surgeon had stated that the surgical procedure had been more straightforward in the past, and all his patients had experienced excellent outcomes. So, she was expecting to live a healthy life after the surgery. The court recognized that it was important for the physician to offer assurance to their patients, which may, at some time, turn to be something more. Therefore, the jury refus</w:t>
      </w:r>
      <w:r w:rsidR="00EA39F2" w:rsidRPr="00ED2569">
        <w:rPr>
          <w:color w:val="000000" w:themeColor="text1"/>
        </w:rPr>
        <w:t xml:space="preserve">ed to consider the theory of express warranty in the case. </w:t>
      </w:r>
    </w:p>
    <w:p w:rsidR="00EA39F2" w:rsidRPr="00ED2569" w:rsidRDefault="00BC74F8" w:rsidP="00A44CAA">
      <w:pPr>
        <w:pStyle w:val="NormalWeb"/>
        <w:shd w:val="clear" w:color="auto" w:fill="FFFFFF"/>
        <w:spacing w:before="0" w:beforeAutospacing="0" w:after="0" w:afterAutospacing="0" w:line="480" w:lineRule="auto"/>
        <w:ind w:firstLine="720"/>
        <w:rPr>
          <w:color w:val="000000" w:themeColor="text1"/>
        </w:rPr>
      </w:pPr>
      <w:r w:rsidRPr="00ED2569">
        <w:rPr>
          <w:color w:val="000000" w:themeColor="text1"/>
        </w:rPr>
        <w:t>Since the evidence provided to the court was not sufficient to support the submission involving the four theories, the court sustained the motion of the defendant for the verdict. The case was asserted. The court had no occasion to addres</w:t>
      </w:r>
      <w:r w:rsidR="007A267E" w:rsidRPr="00ED2569">
        <w:rPr>
          <w:color w:val="000000" w:themeColor="text1"/>
        </w:rPr>
        <w:t>s the issue of negligence caused by</w:t>
      </w:r>
      <w:r w:rsidRPr="00ED2569">
        <w:rPr>
          <w:color w:val="000000" w:themeColor="text1"/>
        </w:rPr>
        <w:t xml:space="preserve"> a lack of </w:t>
      </w:r>
      <w:r w:rsidR="007A267E" w:rsidRPr="00ED2569">
        <w:rPr>
          <w:color w:val="000000" w:themeColor="text1"/>
        </w:rPr>
        <w:t>information to</w:t>
      </w:r>
      <w:r w:rsidRPr="00ED2569">
        <w:rPr>
          <w:color w:val="000000" w:themeColor="text1"/>
        </w:rPr>
        <w:t xml:space="preserve"> the appellant on the risk of nerve injury. This is because even though the d</w:t>
      </w:r>
      <w:r w:rsidR="008F0A36">
        <w:rPr>
          <w:color w:val="000000" w:themeColor="text1"/>
        </w:rPr>
        <w:t>efender agreed with the claim and the p</w:t>
      </w:r>
      <w:r w:rsidRPr="00ED2569">
        <w:rPr>
          <w:color w:val="000000" w:themeColor="text1"/>
        </w:rPr>
        <w:t>laintiff had no evidence about the claims</w:t>
      </w:r>
      <w:r w:rsidR="007A267E" w:rsidRPr="00ED2569">
        <w:rPr>
          <w:color w:val="000000" w:themeColor="text1"/>
        </w:rPr>
        <w:t xml:space="preserve"> (</w:t>
      </w:r>
      <w:r w:rsidR="007A267E" w:rsidRPr="00ED2569">
        <w:rPr>
          <w:color w:val="000000" w:themeColor="text1"/>
          <w:shd w:val="clear" w:color="auto" w:fill="FFFFFF"/>
        </w:rPr>
        <w:t>Perin&amp; Hayne, 1973)</w:t>
      </w:r>
      <w:r w:rsidRPr="00ED2569">
        <w:rPr>
          <w:color w:val="000000" w:themeColor="text1"/>
        </w:rPr>
        <w:t>. However, later o</w:t>
      </w:r>
      <w:r w:rsidR="008F0A36">
        <w:rPr>
          <w:color w:val="000000" w:themeColor="text1"/>
        </w:rPr>
        <w:t>n, in the express of warranty, the p</w:t>
      </w:r>
      <w:r w:rsidRPr="00ED2569">
        <w:rPr>
          <w:color w:val="000000" w:themeColor="text1"/>
        </w:rPr>
        <w:t>laintiff states that the doctor had explained to her about the risk involved. Therefore, the information provided to the court was not enough and consistent, and the court could not consider it in the case.</w:t>
      </w:r>
    </w:p>
    <w:p w:rsidR="00BE4A04" w:rsidRPr="00220115" w:rsidRDefault="00BE4A04" w:rsidP="00A44CAA">
      <w:pPr>
        <w:pStyle w:val="NormalWeb"/>
        <w:shd w:val="clear" w:color="auto" w:fill="FFFFFF"/>
        <w:spacing w:before="0" w:beforeAutospacing="0" w:after="0" w:afterAutospacing="0" w:line="480" w:lineRule="auto"/>
        <w:ind w:firstLine="720"/>
        <w:rPr>
          <w:color w:val="000000" w:themeColor="text1"/>
        </w:rPr>
      </w:pPr>
    </w:p>
    <w:p w:rsidR="00BE4A04" w:rsidRPr="00220115" w:rsidRDefault="00BE4A04" w:rsidP="00A44CAA">
      <w:pPr>
        <w:pStyle w:val="NormalWeb"/>
        <w:shd w:val="clear" w:color="auto" w:fill="FFFFFF"/>
        <w:spacing w:before="0" w:beforeAutospacing="0" w:after="0" w:afterAutospacing="0" w:line="480" w:lineRule="auto"/>
        <w:ind w:firstLine="720"/>
        <w:rPr>
          <w:color w:val="000000" w:themeColor="text1"/>
        </w:rPr>
      </w:pPr>
    </w:p>
    <w:p w:rsidR="00BE4A04" w:rsidRPr="00220115" w:rsidRDefault="00BE4A04" w:rsidP="00A44CAA">
      <w:pPr>
        <w:pStyle w:val="NormalWeb"/>
        <w:shd w:val="clear" w:color="auto" w:fill="FFFFFF"/>
        <w:spacing w:before="0" w:beforeAutospacing="0" w:after="0" w:afterAutospacing="0" w:line="480" w:lineRule="auto"/>
        <w:ind w:firstLine="720"/>
        <w:rPr>
          <w:color w:val="000000" w:themeColor="text1"/>
        </w:rPr>
      </w:pPr>
    </w:p>
    <w:p w:rsidR="00BE4A04" w:rsidRPr="00220115" w:rsidRDefault="00BE4A04" w:rsidP="00A44CAA">
      <w:pPr>
        <w:pStyle w:val="NormalWeb"/>
        <w:shd w:val="clear" w:color="auto" w:fill="FFFFFF"/>
        <w:spacing w:before="0" w:beforeAutospacing="0" w:after="0" w:afterAutospacing="0" w:line="480" w:lineRule="auto"/>
        <w:ind w:firstLine="720"/>
        <w:rPr>
          <w:color w:val="000000" w:themeColor="text1"/>
        </w:rPr>
      </w:pPr>
    </w:p>
    <w:p w:rsidR="00BE4A04" w:rsidRDefault="00BE4A04" w:rsidP="00A44CAA">
      <w:pPr>
        <w:pStyle w:val="NormalWeb"/>
        <w:shd w:val="clear" w:color="auto" w:fill="FFFFFF"/>
        <w:spacing w:before="0" w:beforeAutospacing="0" w:after="0" w:afterAutospacing="0" w:line="480" w:lineRule="auto"/>
        <w:rPr>
          <w:color w:val="000000"/>
        </w:rPr>
      </w:pPr>
    </w:p>
    <w:p w:rsidR="00BE4A04" w:rsidRDefault="00BE4A04" w:rsidP="00A44CAA">
      <w:pPr>
        <w:pStyle w:val="NormalWeb"/>
        <w:shd w:val="clear" w:color="auto" w:fill="FFFFFF"/>
        <w:spacing w:before="0" w:beforeAutospacing="0" w:after="0" w:afterAutospacing="0" w:line="480" w:lineRule="auto"/>
        <w:rPr>
          <w:color w:val="000000"/>
        </w:rPr>
      </w:pPr>
    </w:p>
    <w:p w:rsidR="00BE4A04" w:rsidRDefault="00BE4A04" w:rsidP="00A44CAA">
      <w:pPr>
        <w:pStyle w:val="NormalWeb"/>
        <w:shd w:val="clear" w:color="auto" w:fill="FFFFFF"/>
        <w:spacing w:before="0" w:beforeAutospacing="0" w:after="0" w:afterAutospacing="0" w:line="480" w:lineRule="auto"/>
        <w:rPr>
          <w:color w:val="000000"/>
        </w:rPr>
      </w:pPr>
    </w:p>
    <w:p w:rsidR="00BE4A04" w:rsidRDefault="00BC74F8" w:rsidP="00A44CAA">
      <w:pPr>
        <w:pStyle w:val="NormalWeb"/>
        <w:shd w:val="clear" w:color="auto" w:fill="FFFFFF"/>
        <w:spacing w:before="0" w:beforeAutospacing="0" w:after="0" w:afterAutospacing="0" w:line="480" w:lineRule="auto"/>
        <w:jc w:val="center"/>
        <w:rPr>
          <w:color w:val="000000"/>
        </w:rPr>
      </w:pPr>
      <w:r>
        <w:rPr>
          <w:color w:val="000000"/>
        </w:rPr>
        <w:lastRenderedPageBreak/>
        <w:t>References</w:t>
      </w:r>
    </w:p>
    <w:p w:rsidR="00ED2569" w:rsidRPr="00ED2569" w:rsidRDefault="00ED2569" w:rsidP="00A44CAA">
      <w:pPr>
        <w:spacing w:after="0" w:line="480" w:lineRule="auto"/>
        <w:ind w:left="720" w:hanging="720"/>
        <w:rPr>
          <w:rFonts w:ascii="Times New Roman" w:hAnsi="Times New Roman" w:cs="Times New Roman"/>
          <w:color w:val="000000" w:themeColor="text1"/>
          <w:sz w:val="24"/>
          <w:szCs w:val="24"/>
        </w:rPr>
      </w:pPr>
      <w:r w:rsidRPr="00ED2569">
        <w:rPr>
          <w:rFonts w:ascii="Times New Roman" w:hAnsi="Times New Roman" w:cs="Times New Roman"/>
          <w:color w:val="000000" w:themeColor="text1"/>
          <w:sz w:val="24"/>
          <w:szCs w:val="24"/>
          <w:shd w:val="clear" w:color="auto" w:fill="FFFFFF"/>
        </w:rPr>
        <w:t>Fielding, J., Teutsch, S., &amp; Caldwell, S. (2013). </w:t>
      </w:r>
      <w:r w:rsidRPr="00ED2569">
        <w:rPr>
          <w:rFonts w:ascii="Times New Roman" w:hAnsi="Times New Roman" w:cs="Times New Roman"/>
          <w:i/>
          <w:iCs/>
          <w:color w:val="000000" w:themeColor="text1"/>
          <w:sz w:val="24"/>
          <w:szCs w:val="24"/>
          <w:shd w:val="clear" w:color="auto" w:fill="FFFFFF"/>
        </w:rPr>
        <w:t>Public health practice</w:t>
      </w:r>
      <w:r w:rsidRPr="00ED2569">
        <w:rPr>
          <w:rFonts w:ascii="Times New Roman" w:hAnsi="Times New Roman" w:cs="Times New Roman"/>
          <w:color w:val="000000" w:themeColor="text1"/>
          <w:sz w:val="24"/>
          <w:szCs w:val="24"/>
          <w:shd w:val="clear" w:color="auto" w:fill="FFFFFF"/>
        </w:rPr>
        <w:t>. New York: Oxford University Press.</w:t>
      </w:r>
    </w:p>
    <w:p w:rsidR="00ED2569" w:rsidRPr="00ED2569" w:rsidRDefault="00ED2569" w:rsidP="00A44CAA">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ED2569">
        <w:rPr>
          <w:color w:val="000000" w:themeColor="text1"/>
          <w:shd w:val="clear" w:color="auto" w:fill="FFFFFF"/>
        </w:rPr>
        <w:t xml:space="preserve">McCormick. (2015). Perin V. Hayne | 210 N.W.2d 609 | Iowa | Judgment | Law | CaseMine. Retrieved 24 March 2020, from </w:t>
      </w:r>
      <w:hyperlink r:id="rId6" w:history="1">
        <w:r w:rsidRPr="00ED2569">
          <w:rPr>
            <w:rStyle w:val="Hyperlink"/>
            <w:color w:val="000000" w:themeColor="text1"/>
            <w:u w:val="none"/>
            <w:shd w:val="clear" w:color="auto" w:fill="FFFFFF"/>
          </w:rPr>
          <w:t>https://www.casemine.com/judgement/us/5914c6d4add7b049347ddf57</w:t>
        </w:r>
      </w:hyperlink>
    </w:p>
    <w:p w:rsidR="00ED2569" w:rsidRPr="00ED2569" w:rsidRDefault="00ED2569" w:rsidP="00A44CAA">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ED2569">
        <w:rPr>
          <w:color w:val="000000" w:themeColor="text1"/>
          <w:shd w:val="clear" w:color="auto" w:fill="FFFFFF"/>
        </w:rPr>
        <w:t xml:space="preserve">Perin, I., &amp; Hayne, R. (1973). Perin v. Hayne. Retrieved 23 March 2020, from </w:t>
      </w:r>
      <w:hyperlink r:id="rId7" w:history="1">
        <w:r w:rsidRPr="00ED2569">
          <w:rPr>
            <w:rStyle w:val="Hyperlink"/>
            <w:color w:val="000000" w:themeColor="text1"/>
            <w:u w:val="none"/>
            <w:shd w:val="clear" w:color="auto" w:fill="FFFFFF"/>
          </w:rPr>
          <w:t>https://law.justia.com/cases/iowa/supreme-court/1973/55949-0.htm</w:t>
        </w:r>
      </w:hyperlink>
    </w:p>
    <w:sectPr w:rsidR="00ED2569" w:rsidRPr="00ED2569" w:rsidSect="002201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55B" w:rsidRDefault="0046555B">
      <w:pPr>
        <w:spacing w:after="0" w:line="240" w:lineRule="auto"/>
      </w:pPr>
      <w:r>
        <w:separator/>
      </w:r>
    </w:p>
  </w:endnote>
  <w:endnote w:type="continuationSeparator" w:id="1">
    <w:p w:rsidR="0046555B" w:rsidRDefault="004655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55B" w:rsidRDefault="0046555B">
      <w:pPr>
        <w:spacing w:after="0" w:line="240" w:lineRule="auto"/>
      </w:pPr>
      <w:r>
        <w:separator/>
      </w:r>
    </w:p>
  </w:footnote>
  <w:footnote w:type="continuationSeparator" w:id="1">
    <w:p w:rsidR="0046555B" w:rsidRDefault="004655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15" w:rsidRDefault="00BC74F8" w:rsidP="00220115">
    <w:pPr>
      <w:pStyle w:val="Header"/>
    </w:pPr>
    <w:r w:rsidRPr="00220115">
      <w:rPr>
        <w:rFonts w:ascii="Times New Roman" w:hAnsi="Times New Roman" w:cs="Times New Roman"/>
        <w:sz w:val="24"/>
        <w:szCs w:val="24"/>
      </w:rPr>
      <w:t>CASE OF PERIN VS HAYNE</w:t>
    </w:r>
    <w:sdt>
      <w:sdtPr>
        <w:rPr>
          <w:rFonts w:ascii="Times New Roman" w:hAnsi="Times New Roman" w:cs="Times New Roman"/>
          <w:sz w:val="24"/>
          <w:szCs w:val="24"/>
        </w:rPr>
        <w:id w:val="1133291689"/>
        <w:docPartObj>
          <w:docPartGallery w:val="Page Numbers (Top of Page)"/>
          <w:docPartUnique/>
        </w:docPartObj>
      </w:sdtPr>
      <w:sdtEndPr>
        <w:rPr>
          <w:noProof/>
        </w:rPr>
      </w:sdtEndPr>
      <w:sdtContent>
        <w:r w:rsidR="00A44CAA">
          <w:rPr>
            <w:rFonts w:ascii="Times New Roman" w:hAnsi="Times New Roman" w:cs="Times New Roman"/>
            <w:sz w:val="24"/>
            <w:szCs w:val="24"/>
          </w:rPr>
          <w:t xml:space="preserve">                                                                                             </w:t>
        </w:r>
        <w:r w:rsidR="00053837" w:rsidRPr="00220115">
          <w:rPr>
            <w:rFonts w:ascii="Times New Roman" w:hAnsi="Times New Roman" w:cs="Times New Roman"/>
            <w:sz w:val="24"/>
            <w:szCs w:val="24"/>
          </w:rPr>
          <w:fldChar w:fldCharType="begin"/>
        </w:r>
        <w:r w:rsidRPr="00220115">
          <w:rPr>
            <w:rFonts w:ascii="Times New Roman" w:hAnsi="Times New Roman" w:cs="Times New Roman"/>
            <w:sz w:val="24"/>
            <w:szCs w:val="24"/>
          </w:rPr>
          <w:instrText xml:space="preserve"> PAGE   \* MERGEFORMAT </w:instrText>
        </w:r>
        <w:r w:rsidR="00053837" w:rsidRPr="00220115">
          <w:rPr>
            <w:rFonts w:ascii="Times New Roman" w:hAnsi="Times New Roman" w:cs="Times New Roman"/>
            <w:sz w:val="24"/>
            <w:szCs w:val="24"/>
          </w:rPr>
          <w:fldChar w:fldCharType="separate"/>
        </w:r>
        <w:r w:rsidR="008F0A36">
          <w:rPr>
            <w:rFonts w:ascii="Times New Roman" w:hAnsi="Times New Roman" w:cs="Times New Roman"/>
            <w:noProof/>
            <w:sz w:val="24"/>
            <w:szCs w:val="24"/>
          </w:rPr>
          <w:t>5</w:t>
        </w:r>
        <w:r w:rsidR="00053837" w:rsidRPr="00220115">
          <w:rPr>
            <w:rFonts w:ascii="Times New Roman" w:hAnsi="Times New Roman" w:cs="Times New Roman"/>
            <w:noProof/>
            <w:sz w:val="24"/>
            <w:szCs w:val="24"/>
          </w:rPr>
          <w:fldChar w:fldCharType="end"/>
        </w:r>
      </w:sdtContent>
    </w:sdt>
  </w:p>
  <w:p w:rsidR="00220115" w:rsidRDefault="002201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15" w:rsidRPr="00220115" w:rsidRDefault="00BC74F8" w:rsidP="00220115">
    <w:pPr>
      <w:pStyle w:val="Header"/>
      <w:rPr>
        <w:rFonts w:ascii="Times New Roman" w:hAnsi="Times New Roman" w:cs="Times New Roman"/>
        <w:sz w:val="24"/>
        <w:szCs w:val="24"/>
      </w:rPr>
    </w:pPr>
    <w:r w:rsidRPr="00220115">
      <w:rPr>
        <w:rFonts w:ascii="Times New Roman" w:hAnsi="Times New Roman" w:cs="Times New Roman"/>
        <w:sz w:val="24"/>
        <w:szCs w:val="24"/>
      </w:rPr>
      <w:t>Running head: CASE OF PERIN VS HAYNE</w:t>
    </w:r>
    <w:sdt>
      <w:sdtPr>
        <w:rPr>
          <w:rFonts w:ascii="Times New Roman" w:hAnsi="Times New Roman" w:cs="Times New Roman"/>
          <w:sz w:val="24"/>
          <w:szCs w:val="24"/>
        </w:rPr>
        <w:id w:val="662670957"/>
        <w:docPartObj>
          <w:docPartGallery w:val="Page Numbers (Top of Page)"/>
          <w:docPartUnique/>
        </w:docPartObj>
      </w:sdtPr>
      <w:sdtEndPr>
        <w:rPr>
          <w:noProof/>
        </w:rPr>
      </w:sdtEndPr>
      <w:sdtContent>
        <w:r w:rsidR="00A44CAA">
          <w:rPr>
            <w:rFonts w:ascii="Times New Roman" w:hAnsi="Times New Roman" w:cs="Times New Roman"/>
            <w:sz w:val="24"/>
            <w:szCs w:val="24"/>
          </w:rPr>
          <w:t xml:space="preserve">                                                                       </w:t>
        </w:r>
        <w:r w:rsidR="00053837" w:rsidRPr="00220115">
          <w:rPr>
            <w:rFonts w:ascii="Times New Roman" w:hAnsi="Times New Roman" w:cs="Times New Roman"/>
            <w:sz w:val="24"/>
            <w:szCs w:val="24"/>
          </w:rPr>
          <w:fldChar w:fldCharType="begin"/>
        </w:r>
        <w:r w:rsidRPr="00220115">
          <w:rPr>
            <w:rFonts w:ascii="Times New Roman" w:hAnsi="Times New Roman" w:cs="Times New Roman"/>
            <w:sz w:val="24"/>
            <w:szCs w:val="24"/>
          </w:rPr>
          <w:instrText xml:space="preserve"> PAGE   \* MERGEFORMAT </w:instrText>
        </w:r>
        <w:r w:rsidR="00053837" w:rsidRPr="00220115">
          <w:rPr>
            <w:rFonts w:ascii="Times New Roman" w:hAnsi="Times New Roman" w:cs="Times New Roman"/>
            <w:sz w:val="24"/>
            <w:szCs w:val="24"/>
          </w:rPr>
          <w:fldChar w:fldCharType="separate"/>
        </w:r>
        <w:r w:rsidR="008F0A36">
          <w:rPr>
            <w:rFonts w:ascii="Times New Roman" w:hAnsi="Times New Roman" w:cs="Times New Roman"/>
            <w:noProof/>
            <w:sz w:val="24"/>
            <w:szCs w:val="24"/>
          </w:rPr>
          <w:t>1</w:t>
        </w:r>
        <w:r w:rsidR="00053837" w:rsidRPr="00220115">
          <w:rPr>
            <w:rFonts w:ascii="Times New Roman" w:hAnsi="Times New Roman" w:cs="Times New Roman"/>
            <w:noProof/>
            <w:sz w:val="24"/>
            <w:szCs w:val="24"/>
          </w:rPr>
          <w:fldChar w:fldCharType="end"/>
        </w:r>
      </w:sdtContent>
    </w:sdt>
  </w:p>
  <w:p w:rsidR="00220115" w:rsidRPr="00220115" w:rsidRDefault="002201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0BA1"/>
    <w:rsid w:val="00053837"/>
    <w:rsid w:val="00141C99"/>
    <w:rsid w:val="001701A2"/>
    <w:rsid w:val="00182621"/>
    <w:rsid w:val="00220115"/>
    <w:rsid w:val="002D34E7"/>
    <w:rsid w:val="003B391F"/>
    <w:rsid w:val="00417CB4"/>
    <w:rsid w:val="0046555B"/>
    <w:rsid w:val="0057109B"/>
    <w:rsid w:val="005855B3"/>
    <w:rsid w:val="005D0BA1"/>
    <w:rsid w:val="00761E68"/>
    <w:rsid w:val="007A267E"/>
    <w:rsid w:val="007F284C"/>
    <w:rsid w:val="008F0A36"/>
    <w:rsid w:val="00945FAD"/>
    <w:rsid w:val="00A44CAA"/>
    <w:rsid w:val="00B81CCB"/>
    <w:rsid w:val="00BC74F8"/>
    <w:rsid w:val="00BE4A04"/>
    <w:rsid w:val="00C74483"/>
    <w:rsid w:val="00D31229"/>
    <w:rsid w:val="00D72E2F"/>
    <w:rsid w:val="00DD1B87"/>
    <w:rsid w:val="00E81D61"/>
    <w:rsid w:val="00EA39F2"/>
    <w:rsid w:val="00EA50F6"/>
    <w:rsid w:val="00ED2569"/>
    <w:rsid w:val="00ED3C84"/>
    <w:rsid w:val="00EF5B76"/>
    <w:rsid w:val="00FA54E9"/>
    <w:rsid w:val="00FA69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8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0B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54E9"/>
    <w:rPr>
      <w:color w:val="0000FF"/>
      <w:u w:val="single"/>
    </w:rPr>
  </w:style>
  <w:style w:type="paragraph" w:styleId="Header">
    <w:name w:val="header"/>
    <w:basedOn w:val="Normal"/>
    <w:link w:val="HeaderChar"/>
    <w:uiPriority w:val="99"/>
    <w:unhideWhenUsed/>
    <w:rsid w:val="00220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15"/>
  </w:style>
  <w:style w:type="paragraph" w:styleId="Footer">
    <w:name w:val="footer"/>
    <w:basedOn w:val="Normal"/>
    <w:link w:val="FooterChar"/>
    <w:uiPriority w:val="99"/>
    <w:unhideWhenUsed/>
    <w:rsid w:val="00220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1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aw.justia.com/cases/iowa/supreme-court/1973/55949-0.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semine.com/judgement/us/5914c6d4add7b049347ddf5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2020-03-24T06:10:00Z</dcterms:created>
  <dcterms:modified xsi:type="dcterms:W3CDTF">2020-03-24T06:10:00Z</dcterms:modified>
</cp:coreProperties>
</file>